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8C" w:rsidRDefault="00AC30C1" w:rsidP="0059248C">
      <w:pPr>
        <w:pStyle w:val="Titre1"/>
      </w:pPr>
      <w:r>
        <w:softHyphen/>
      </w:r>
      <w:r>
        <w:softHyphen/>
      </w:r>
      <w:r>
        <w:softHyphen/>
      </w:r>
      <w:r>
        <w:softHyphen/>
      </w:r>
      <w:bookmarkStart w:id="0" w:name="_GoBack"/>
      <w:bookmarkEnd w:id="0"/>
      <w:r w:rsidR="0059248C">
        <w:t xml:space="preserve">Checklist de base accessibilité numérique </w:t>
      </w:r>
    </w:p>
    <w:p w:rsidR="0059248C" w:rsidRPr="00E2024B" w:rsidRDefault="0059248C" w:rsidP="0059248C">
      <w:pPr>
        <w:spacing w:before="100" w:beforeAutospacing="1" w:after="100" w:afterAutospacing="1" w:line="240" w:lineRule="auto"/>
        <w:outlineLvl w:val="0"/>
        <w:rPr>
          <w:rFonts w:ascii="Century Gothic" w:eastAsia="Times New Roman" w:hAnsi="Century Gothic" w:cs="Times New Roman"/>
          <w:bCs/>
          <w:kern w:val="36"/>
          <w:lang w:eastAsia="fr-BE"/>
        </w:rPr>
      </w:pPr>
      <w:bookmarkStart w:id="1" w:name="_Toc27401382"/>
      <w:bookmarkStart w:id="2" w:name="_Toc27467587"/>
      <w:bookmarkStart w:id="3" w:name="_Toc27467653"/>
      <w:bookmarkStart w:id="4" w:name="_Toc27468285"/>
      <w:r w:rsidRPr="00E2024B">
        <w:rPr>
          <w:rFonts w:ascii="Century Gothic" w:eastAsia="Times New Roman" w:hAnsi="Century Gothic" w:cs="Times New Roman"/>
          <w:b/>
          <w:bCs/>
          <w:kern w:val="36"/>
          <w:lang w:eastAsia="fr-BE"/>
        </w:rPr>
        <w:t>Profil</w:t>
      </w:r>
      <w:r w:rsidRPr="00E2024B">
        <w:rPr>
          <w:rFonts w:ascii="Century Gothic" w:eastAsia="Times New Roman" w:hAnsi="Century Gothic" w:cs="Times New Roman"/>
          <w:bCs/>
          <w:kern w:val="36"/>
          <w:lang w:eastAsia="fr-BE"/>
        </w:rPr>
        <w:t> : designers et fournisseurs de contenus</w:t>
      </w:r>
      <w:bookmarkEnd w:id="1"/>
      <w:bookmarkEnd w:id="2"/>
      <w:bookmarkEnd w:id="3"/>
      <w:bookmarkEnd w:id="4"/>
    </w:p>
    <w:p w:rsidR="0059248C" w:rsidRDefault="0059248C" w:rsidP="0059248C">
      <w:pPr>
        <w:spacing w:before="100" w:beforeAutospacing="1" w:after="100" w:afterAutospacing="1" w:line="240" w:lineRule="auto"/>
        <w:contextualSpacing/>
        <w:rPr>
          <w:rFonts w:ascii="Century Gothic" w:hAnsi="Century Gothic"/>
          <w:sz w:val="20"/>
          <w:szCs w:val="20"/>
        </w:rPr>
      </w:pPr>
      <w:r w:rsidRPr="00E2024B">
        <w:rPr>
          <w:rFonts w:ascii="Century Gothic" w:eastAsia="Times New Roman" w:hAnsi="Century Gothic" w:cs="Times New Roman"/>
          <w:b/>
          <w:bCs/>
          <w:kern w:val="36"/>
          <w:lang w:eastAsia="fr-BE"/>
        </w:rPr>
        <w:t>Référence</w:t>
      </w:r>
      <w:r>
        <w:rPr>
          <w:rFonts w:ascii="Century Gothic" w:eastAsia="Times New Roman" w:hAnsi="Century Gothic" w:cs="Times New Roman"/>
          <w:b/>
          <w:bCs/>
          <w:kern w:val="36"/>
          <w:lang w:eastAsia="fr-BE"/>
        </w:rPr>
        <w:t>s</w:t>
      </w:r>
      <w:r w:rsidRPr="00E2024B">
        <w:rPr>
          <w:rFonts w:ascii="Century Gothic" w:eastAsia="Times New Roman" w:hAnsi="Century Gothic" w:cs="Times New Roman"/>
          <w:bCs/>
          <w:kern w:val="36"/>
          <w:lang w:eastAsia="fr-BE"/>
        </w:rPr>
        <w:t xml:space="preserve"> : Web Content </w:t>
      </w:r>
      <w:proofErr w:type="spellStart"/>
      <w:r w:rsidRPr="00E2024B">
        <w:rPr>
          <w:rFonts w:ascii="Century Gothic" w:eastAsia="Times New Roman" w:hAnsi="Century Gothic" w:cs="Times New Roman"/>
          <w:bCs/>
          <w:kern w:val="36"/>
          <w:lang w:eastAsia="fr-BE"/>
        </w:rPr>
        <w:t>Accessibility</w:t>
      </w:r>
      <w:proofErr w:type="spellEnd"/>
      <w:r w:rsidRPr="00E2024B">
        <w:rPr>
          <w:rFonts w:ascii="Century Gothic" w:eastAsia="Times New Roman" w:hAnsi="Century Gothic" w:cs="Times New Roman"/>
          <w:bCs/>
          <w:kern w:val="36"/>
          <w:lang w:eastAsia="fr-BE"/>
        </w:rPr>
        <w:t xml:space="preserve"> Guidelines (WCAG) 2.1 / ISO 40500: </w:t>
      </w:r>
      <w:hyperlink r:id="rId5" w:history="1">
        <w:r w:rsidRPr="00E2024B">
          <w:rPr>
            <w:rStyle w:val="Lienhypertexte"/>
            <w:rFonts w:ascii="Century Gothic" w:hAnsi="Century Gothic"/>
            <w:sz w:val="20"/>
            <w:szCs w:val="20"/>
          </w:rPr>
          <w:t>https://www.w3.org/TR/WCAG21/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59248C" w:rsidRPr="00BE3A35" w:rsidRDefault="0059248C" w:rsidP="0059248C">
      <w:pPr>
        <w:spacing w:before="100" w:beforeAutospacing="1" w:after="100" w:afterAutospacing="1" w:line="240" w:lineRule="auto"/>
        <w:contextualSpacing/>
        <w:rPr>
          <w:rFonts w:ascii="Century Gothic" w:hAnsi="Century Gothic"/>
          <w:sz w:val="20"/>
          <w:szCs w:val="20"/>
          <w:lang w:val="en-GB"/>
        </w:rPr>
      </w:pPr>
      <w:r w:rsidRPr="00BE3A35">
        <w:rPr>
          <w:rFonts w:ascii="Century Gothic" w:eastAsia="Times New Roman" w:hAnsi="Century Gothic" w:cs="Times New Roman"/>
          <w:bCs/>
          <w:kern w:val="36"/>
          <w:lang w:val="en-GB" w:eastAsia="fr-BE"/>
        </w:rPr>
        <w:t xml:space="preserve">Quick reference Guide: </w:t>
      </w:r>
      <w:hyperlink r:id="rId6" w:history="1">
        <w:r w:rsidRPr="00BE3A35">
          <w:rPr>
            <w:rStyle w:val="Lienhypertexte"/>
            <w:rFonts w:ascii="Century Gothic" w:hAnsi="Century Gothic"/>
            <w:sz w:val="20"/>
            <w:szCs w:val="20"/>
            <w:lang w:val="en-GB"/>
          </w:rPr>
          <w:t>https://www.w3.org/WAI/WCAG21/quickref/</w:t>
        </w:r>
      </w:hyperlink>
    </w:p>
    <w:p w:rsidR="0059248C" w:rsidRDefault="0059248C" w:rsidP="0059248C">
      <w:pPr>
        <w:spacing w:before="100" w:beforeAutospacing="1" w:after="100" w:afterAutospacing="1" w:line="240" w:lineRule="auto"/>
        <w:rPr>
          <w:rFonts w:ascii="Century Gothic" w:hAnsi="Century Gothic"/>
          <w:lang w:val="en-GB"/>
        </w:rPr>
      </w:pPr>
    </w:p>
    <w:p w:rsidR="002D206C" w:rsidRPr="00BE3A35" w:rsidRDefault="002D206C" w:rsidP="0059248C">
      <w:pPr>
        <w:spacing w:before="100" w:beforeAutospacing="1" w:after="100" w:afterAutospacing="1" w:line="240" w:lineRule="auto"/>
        <w:rPr>
          <w:rFonts w:ascii="Century Gothic" w:hAnsi="Century Gothic"/>
          <w:lang w:val="en-GB"/>
        </w:rPr>
      </w:pPr>
      <w:proofErr w:type="spellStart"/>
      <w:r w:rsidRPr="002D206C">
        <w:rPr>
          <w:rFonts w:ascii="Century Gothic" w:hAnsi="Century Gothic"/>
          <w:highlight w:val="yellow"/>
          <w:lang w:val="en-GB"/>
        </w:rPr>
        <w:t>En</w:t>
      </w:r>
      <w:proofErr w:type="spellEnd"/>
      <w:r w:rsidRPr="002D206C">
        <w:rPr>
          <w:rFonts w:ascii="Century Gothic" w:hAnsi="Century Gothic"/>
          <w:highlight w:val="yellow"/>
          <w:lang w:val="en-GB"/>
        </w:rPr>
        <w:t xml:space="preserve"> </w:t>
      </w:r>
      <w:proofErr w:type="spellStart"/>
      <w:r w:rsidRPr="002D206C">
        <w:rPr>
          <w:rFonts w:ascii="Century Gothic" w:hAnsi="Century Gothic"/>
          <w:highlight w:val="yellow"/>
          <w:lang w:val="en-GB"/>
        </w:rPr>
        <w:t>jaune</w:t>
      </w:r>
      <w:proofErr w:type="spellEnd"/>
      <w:r w:rsidRPr="002D206C">
        <w:rPr>
          <w:rFonts w:ascii="Century Gothic" w:hAnsi="Century Gothic"/>
          <w:highlight w:val="yellow"/>
          <w:lang w:val="en-GB"/>
        </w:rPr>
        <w:t xml:space="preserve"> = pour les </w:t>
      </w:r>
      <w:proofErr w:type="spellStart"/>
      <w:r w:rsidRPr="002D206C">
        <w:rPr>
          <w:rFonts w:ascii="Century Gothic" w:hAnsi="Century Gothic"/>
          <w:highlight w:val="yellow"/>
          <w:lang w:val="en-GB"/>
        </w:rPr>
        <w:t>gestionnaires</w:t>
      </w:r>
      <w:proofErr w:type="spellEnd"/>
      <w:r w:rsidRPr="002D206C">
        <w:rPr>
          <w:rFonts w:ascii="Century Gothic" w:hAnsi="Century Gothic"/>
          <w:highlight w:val="yellow"/>
          <w:lang w:val="en-GB"/>
        </w:rPr>
        <w:t xml:space="preserve"> de site</w:t>
      </w:r>
      <w:r>
        <w:rPr>
          <w:rFonts w:ascii="Century Gothic" w:hAnsi="Century Gothic"/>
          <w:lang w:val="en-GB"/>
        </w:rPr>
        <w:t xml:space="preserve"> </w:t>
      </w:r>
    </w:p>
    <w:p w:rsidR="0059248C" w:rsidRPr="00E74DD7" w:rsidRDefault="0059248C" w:rsidP="0059248C">
      <w:pPr>
        <w:pStyle w:val="Titre2"/>
        <w:rPr>
          <w:rFonts w:eastAsia="Times New Roman"/>
          <w:lang w:eastAsia="fr-BE"/>
        </w:rPr>
      </w:pPr>
      <w:bookmarkStart w:id="5" w:name="_Toc27468286"/>
      <w:r w:rsidRPr="00E74DD7">
        <w:rPr>
          <w:rFonts w:eastAsia="Times New Roman"/>
          <w:lang w:eastAsia="fr-BE"/>
        </w:rPr>
        <w:t>Introduction</w:t>
      </w:r>
      <w:bookmarkEnd w:id="5"/>
    </w:p>
    <w:p w:rsidR="0059248C" w:rsidRDefault="0059248C" w:rsidP="0059248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fr-BE"/>
        </w:rPr>
      </w:pPr>
      <w:r w:rsidRPr="00E74DD7">
        <w:rPr>
          <w:rFonts w:ascii="Century Gothic" w:eastAsia="Times New Roman" w:hAnsi="Century Gothic" w:cs="Times New Roman"/>
          <w:sz w:val="20"/>
          <w:szCs w:val="20"/>
          <w:lang w:eastAsia="fr-BE"/>
        </w:rPr>
        <w:t>Ce document reprend les points de base à vérifier afin de respecter les standards d'accessibilité numérique pour les designers et fournisseurs de contenu.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27"/>
        <w:gridCol w:w="1304"/>
        <w:gridCol w:w="1531"/>
      </w:tblGrid>
      <w:tr w:rsidR="0059248C" w:rsidTr="00F91769">
        <w:tc>
          <w:tcPr>
            <w:tcW w:w="5408" w:type="dxa"/>
          </w:tcPr>
          <w:p w:rsidR="0059248C" w:rsidRDefault="0059248C">
            <w:r>
              <w:t xml:space="preserve">TEST </w:t>
            </w:r>
          </w:p>
        </w:tc>
        <w:tc>
          <w:tcPr>
            <w:tcW w:w="1732" w:type="dxa"/>
          </w:tcPr>
          <w:p w:rsidR="0059248C" w:rsidRDefault="0059248C">
            <w:r>
              <w:t>RESULTAT</w:t>
            </w:r>
          </w:p>
        </w:tc>
        <w:tc>
          <w:tcPr>
            <w:tcW w:w="1922" w:type="dxa"/>
          </w:tcPr>
          <w:p w:rsidR="0059248C" w:rsidRDefault="0059248C">
            <w:r>
              <w:t>COMMENTAIRE</w:t>
            </w:r>
          </w:p>
        </w:tc>
      </w:tr>
      <w:tr w:rsidR="0059248C" w:rsidTr="00F91769">
        <w:tc>
          <w:tcPr>
            <w:tcW w:w="5408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6" w:name="_Toc27468287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Titre significatif dans l’onglet du navigateur</w:t>
            </w:r>
            <w:bookmarkEnd w:id="6"/>
          </w:p>
          <w:p w:rsidR="0059248C" w:rsidRPr="00E74DD7" w:rsidRDefault="0059248C" w:rsidP="0059248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Chaque écran possède un titre significatif </w:t>
            </w: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fr-BE"/>
              </w:rPr>
              <w:t>dans l’onglet du navigateur</w:t>
            </w: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. Ce titre résume de manière concise le contenu ou la nature de la page, et comprend le nom du site. </w:t>
            </w:r>
          </w:p>
          <w:p w:rsidR="0059248C" w:rsidRPr="00E74DD7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 titre de l'écran est donc différent pour chaque écran et l'information spécifique (nom de l'écran) doit venir avant le nom du site. </w:t>
            </w:r>
          </w:p>
          <w:p w:rsidR="0059248C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</w:p>
          <w:p w:rsidR="0059248C" w:rsidRPr="00E74DD7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Exemple d'écran d'accueil: 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&lt;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title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&gt;Portail de la Fédération Wallonie-Bruxelles&lt;/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title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&gt;</w:t>
            </w:r>
          </w:p>
          <w:p w:rsidR="0059248C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  <w:tc>
          <w:tcPr>
            <w:tcW w:w="1732" w:type="dxa"/>
          </w:tcPr>
          <w:p w:rsidR="0059248C" w:rsidRDefault="0059248C">
            <w:r>
              <w:t xml:space="preserve">Oui </w:t>
            </w:r>
          </w:p>
          <w:p w:rsidR="0059248C" w:rsidRDefault="0059248C">
            <w:r>
              <w:t xml:space="preserve">Non </w:t>
            </w:r>
          </w:p>
          <w:p w:rsidR="0059248C" w:rsidRDefault="0059248C">
            <w:r>
              <w:t xml:space="preserve">Pas d’application </w:t>
            </w:r>
          </w:p>
          <w:p w:rsidR="0059248C" w:rsidRDefault="0059248C">
            <w:r>
              <w:t xml:space="preserve">Je ne sais pas </w:t>
            </w:r>
          </w:p>
        </w:tc>
        <w:tc>
          <w:tcPr>
            <w:tcW w:w="1922" w:type="dxa"/>
          </w:tcPr>
          <w:p w:rsidR="0059248C" w:rsidRDefault="0059248C"/>
        </w:tc>
      </w:tr>
      <w:tr w:rsidR="0059248C" w:rsidTr="00F91769">
        <w:tc>
          <w:tcPr>
            <w:tcW w:w="5408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7" w:name="_Toc27468288"/>
            <w:r w:rsidRPr="0059248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Navigation au clavier (TAB)</w:t>
            </w:r>
            <w:bookmarkEnd w:id="7"/>
          </w:p>
          <w:p w:rsidR="0059248C" w:rsidRPr="00E74DD7" w:rsidRDefault="0059248C" w:rsidP="0059248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La totalité du site est utilisable au moyen du clavier. Tous les liens, boutons et interactions doivent être accessibles au clavier. 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Vérifier la navigation des écrans en débranchant la souris et en naviguant avec le clavier: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TAB: hyperlien/bouton/input/...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MAJ+TAB: hyperlien/bouton/input/... précédent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ENTER: activer hyperlien/bouton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barre d'espace: case à cocher ou bouton radio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flèches vers le haut et vers le bas: liste déroulante</w:t>
            </w:r>
          </w:p>
          <w:p w:rsidR="0059248C" w:rsidRPr="0059248C" w:rsidRDefault="0059248C" w:rsidP="0059248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Vérifier les menus déroulants, les formulaires, étapes, onglets, accordéons, albums photos, infobulles, … </w:t>
            </w:r>
          </w:p>
        </w:tc>
        <w:tc>
          <w:tcPr>
            <w:tcW w:w="1732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922" w:type="dxa"/>
          </w:tcPr>
          <w:p w:rsidR="0059248C" w:rsidRDefault="0059248C"/>
        </w:tc>
      </w:tr>
      <w:tr w:rsidR="00F91769" w:rsidTr="00F91769">
        <w:tc>
          <w:tcPr>
            <w:tcW w:w="5408" w:type="dxa"/>
          </w:tcPr>
          <w:p w:rsidR="00F91769" w:rsidRDefault="00F91769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lastRenderedPageBreak/>
              <w:t>Balises utilisées pour la hiérarchisation des titres (H1 =&gt; H6)</w:t>
            </w:r>
            <w:r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 </w:t>
            </w:r>
          </w:p>
          <w:p w:rsidR="00F91769" w:rsidRDefault="00F91769" w:rsidP="00F91769">
            <w:pPr>
              <w:rPr>
                <w:lang w:eastAsia="fr-BE"/>
              </w:rPr>
            </w:pPr>
            <w:r>
              <w:rPr>
                <w:lang w:eastAsia="fr-BE"/>
              </w:rPr>
              <w:t xml:space="preserve">Chaque page web contient 1 seul H1 et décline les sous-titres en H2, sous-sous-titres en H3 et ainsi de suite… </w:t>
            </w:r>
          </w:p>
          <w:p w:rsidR="00F91769" w:rsidRDefault="00F91769" w:rsidP="00F91769">
            <w:pPr>
              <w:rPr>
                <w:lang w:eastAsia="fr-BE"/>
              </w:rPr>
            </w:pPr>
          </w:p>
          <w:p w:rsidR="00F91769" w:rsidRPr="0059248C" w:rsidRDefault="00F91769" w:rsidP="00F91769">
            <w:pPr>
              <w:rPr>
                <w:lang w:eastAsia="fr-BE"/>
              </w:rPr>
            </w:pPr>
            <w:r>
              <w:rPr>
                <w:lang w:eastAsia="fr-BE"/>
              </w:rPr>
              <w:t xml:space="preserve">Attention, le respect de la hiérarchisation des balises est important, on ne peut passer d’un H1 à un H4 sans avoir inséré des balises H2 et H3. </w:t>
            </w:r>
          </w:p>
        </w:tc>
        <w:tc>
          <w:tcPr>
            <w:tcW w:w="1732" w:type="dxa"/>
          </w:tcPr>
          <w:p w:rsidR="00F91769" w:rsidRDefault="00F91769" w:rsidP="00F91769">
            <w:r>
              <w:t xml:space="preserve">Oui </w:t>
            </w:r>
          </w:p>
          <w:p w:rsidR="00F91769" w:rsidRDefault="00F91769" w:rsidP="00F91769">
            <w:r>
              <w:t xml:space="preserve">Non </w:t>
            </w:r>
          </w:p>
          <w:p w:rsidR="00F91769" w:rsidRDefault="00F91769" w:rsidP="00F91769">
            <w:r>
              <w:t xml:space="preserve">Pas d’application </w:t>
            </w:r>
          </w:p>
          <w:p w:rsidR="00F91769" w:rsidRDefault="00F91769" w:rsidP="00F91769">
            <w:r>
              <w:t>Je ne sais pas</w:t>
            </w:r>
          </w:p>
        </w:tc>
        <w:tc>
          <w:tcPr>
            <w:tcW w:w="1922" w:type="dxa"/>
          </w:tcPr>
          <w:p w:rsidR="00F91769" w:rsidRDefault="00F91769"/>
        </w:tc>
      </w:tr>
      <w:tr w:rsidR="0059248C" w:rsidTr="00F91769">
        <w:tc>
          <w:tcPr>
            <w:tcW w:w="5408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8" w:name="_Toc27468289"/>
            <w:r w:rsidRPr="0059248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Focus visible</w:t>
            </w:r>
            <w:bookmarkEnd w:id="8"/>
          </w:p>
          <w:p w:rsidR="0059248C" w:rsidRPr="00E74DD7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 focus des éléments sélectionnés doit être visible. </w:t>
            </w:r>
          </w:p>
          <w:p w:rsidR="0059248C" w:rsidRDefault="0059248C" w:rsidP="0059248C"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Vérifier à l'aide la navigation au clavier (TAB) que le focus sur l’élément sélectionné est bien visible</w:t>
            </w:r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 et contrasté</w:t>
            </w: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.</w:t>
            </w:r>
          </w:p>
        </w:tc>
        <w:tc>
          <w:tcPr>
            <w:tcW w:w="1732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922" w:type="dxa"/>
          </w:tcPr>
          <w:p w:rsidR="0059248C" w:rsidRDefault="0059248C"/>
        </w:tc>
      </w:tr>
      <w:tr w:rsidR="0059248C" w:rsidTr="00F91769">
        <w:tc>
          <w:tcPr>
            <w:tcW w:w="5408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9" w:name="_Toc27468290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 xml:space="preserve">ALT pour toutes les </w:t>
            </w:r>
            <w:bookmarkEnd w:id="9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images</w:t>
            </w:r>
          </w:p>
          <w:p w:rsidR="0059248C" w:rsidRPr="00E74DD7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Prévoir une alternative textuelle significative pour toutes les images véhiculant de l’information. </w:t>
            </w:r>
          </w:p>
          <w:p w:rsidR="0059248C" w:rsidRPr="00E74DD7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images décoratives doivent également avoir un </w:t>
            </w:r>
            <w:proofErr w:type="spellStart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alt</w:t>
            </w:r>
            <w:proofErr w:type="spellEnd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=«» vide et sans espace. 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&lt;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img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src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="images/logo-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FWB.svg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" 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alt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="Portail Fédération Wallonie-Bruxelles"&gt;</w:t>
            </w:r>
          </w:p>
          <w:p w:rsidR="0059248C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Dans l'exemple ci-dessus, le logo FW-B est un lien vers le Portai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 Fédération Wallonie-Bruxelles.</w:t>
            </w:r>
          </w:p>
          <w:p w:rsidR="0059248C" w:rsidRDefault="0059248C"/>
        </w:tc>
        <w:tc>
          <w:tcPr>
            <w:tcW w:w="1732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922" w:type="dxa"/>
          </w:tcPr>
          <w:p w:rsidR="0059248C" w:rsidRDefault="0059248C"/>
        </w:tc>
      </w:tr>
      <w:tr w:rsidR="0059248C" w:rsidTr="00F91769">
        <w:tc>
          <w:tcPr>
            <w:tcW w:w="5408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0" w:name="_Toc27468291"/>
            <w:r w:rsidRPr="0059248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Toutes les zones de saisie ont un libellé</w:t>
            </w:r>
            <w:bookmarkEnd w:id="10"/>
          </w:p>
          <w:p w:rsidR="0059248C" w:rsidRPr="00E74DD7" w:rsidRDefault="0059248C" w:rsidP="0059248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Vérifier que toutes les zones de saisie ont un libellé significatif.</w:t>
            </w:r>
          </w:p>
          <w:p w:rsidR="0059248C" w:rsidRDefault="0059248C"/>
        </w:tc>
        <w:tc>
          <w:tcPr>
            <w:tcW w:w="1732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922" w:type="dxa"/>
          </w:tcPr>
          <w:p w:rsidR="0059248C" w:rsidRDefault="0059248C"/>
        </w:tc>
      </w:tr>
      <w:tr w:rsidR="0059248C" w:rsidTr="00F91769">
        <w:tc>
          <w:tcPr>
            <w:tcW w:w="5408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1" w:name="_Toc27468292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Formats des dates annoncés</w:t>
            </w:r>
            <w:bookmarkEnd w:id="11"/>
          </w:p>
          <w:p w:rsidR="0059248C" w:rsidRDefault="0059248C" w:rsidP="0059248C"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Le format des dates est annoncé après le libellé ex. Date de naissance (</w:t>
            </w:r>
            <w:proofErr w:type="spellStart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jj</w:t>
            </w:r>
            <w:proofErr w:type="spellEnd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/mm/</w:t>
            </w:r>
            <w:proofErr w:type="spellStart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aaaa</w:t>
            </w:r>
            <w:proofErr w:type="spellEnd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)</w:t>
            </w:r>
          </w:p>
        </w:tc>
        <w:tc>
          <w:tcPr>
            <w:tcW w:w="1732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922" w:type="dxa"/>
          </w:tcPr>
          <w:p w:rsidR="0059248C" w:rsidRDefault="0059248C"/>
        </w:tc>
      </w:tr>
      <w:tr w:rsidR="0059248C" w:rsidTr="00F91769">
        <w:tc>
          <w:tcPr>
            <w:tcW w:w="5408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2" w:name="_Toc27468293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Champs obligatoires annoncés</w:t>
            </w:r>
            <w:bookmarkEnd w:id="12"/>
          </w:p>
          <w:p w:rsidR="0059248C" w:rsidRPr="00E74DD7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Les champs obligatoires sont renseignés après le libellé via l'astérisque e</w:t>
            </w: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x. Nom (*)</w:t>
            </w:r>
          </w:p>
          <w:p w:rsidR="0059248C" w:rsidRDefault="0059248C" w:rsidP="0059248C"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NB: un champ obligatoire renseignant une date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 =&gt; </w:t>
            </w: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Date de naissance (</w:t>
            </w:r>
            <w:proofErr w:type="spellStart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jj</w:t>
            </w:r>
            <w:proofErr w:type="spellEnd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/mm/</w:t>
            </w:r>
            <w:proofErr w:type="spellStart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aaaa</w:t>
            </w:r>
            <w:proofErr w:type="spellEnd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) (*)</w:t>
            </w:r>
          </w:p>
        </w:tc>
        <w:tc>
          <w:tcPr>
            <w:tcW w:w="1732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922" w:type="dxa"/>
          </w:tcPr>
          <w:p w:rsidR="0059248C" w:rsidRDefault="0059248C"/>
          <w:p w:rsidR="0059248C" w:rsidRDefault="0059248C"/>
        </w:tc>
      </w:tr>
      <w:tr w:rsidR="0059248C" w:rsidTr="00F91769">
        <w:tc>
          <w:tcPr>
            <w:tcW w:w="5408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3" w:name="_Toc27468294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Formats des fichiers annoncés</w:t>
            </w:r>
            <w:bookmarkEnd w:id="13"/>
          </w:p>
          <w:p w:rsidR="0059248C" w:rsidRPr="00E74DD7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lastRenderedPageBreak/>
              <w:t xml:space="preserve">Le format des fichiers est annoncé après le libellé pour annoncer l'ouverture d'applications/outils tiers. </w:t>
            </w:r>
          </w:p>
          <w:p w:rsidR="0059248C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Le format peut par exemple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 être annoncé à l'aide de texte, </w:t>
            </w:r>
          </w:p>
          <w:p w:rsidR="0059248C" w:rsidRPr="00E74DD7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ex. Mode d'emploi ROI Maison d'enfants </w:t>
            </w:r>
            <w:r w:rsidRPr="00831131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(</w:t>
            </w:r>
            <w:proofErr w:type="spellStart"/>
            <w:r w:rsidRPr="00831131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pdf</w:t>
            </w:r>
            <w:proofErr w:type="spellEnd"/>
            <w:r w:rsidRPr="00831131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)</w:t>
            </w: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 ou à l'aide d'une icône. </w:t>
            </w:r>
          </w:p>
          <w:p w:rsidR="0059248C" w:rsidRDefault="0059248C"/>
        </w:tc>
        <w:tc>
          <w:tcPr>
            <w:tcW w:w="1732" w:type="dxa"/>
          </w:tcPr>
          <w:p w:rsidR="0059248C" w:rsidRDefault="0059248C" w:rsidP="0059248C">
            <w:r>
              <w:lastRenderedPageBreak/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lastRenderedPageBreak/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922" w:type="dxa"/>
          </w:tcPr>
          <w:p w:rsidR="0059248C" w:rsidRDefault="0059248C"/>
        </w:tc>
      </w:tr>
      <w:tr w:rsidR="0059248C" w:rsidTr="00F91769">
        <w:tc>
          <w:tcPr>
            <w:tcW w:w="5408" w:type="dxa"/>
          </w:tcPr>
          <w:p w:rsidR="0059248C" w:rsidRPr="0059248C" w:rsidRDefault="0059248C" w:rsidP="0059248C">
            <w:pPr>
              <w:spacing w:before="100" w:beforeAutospacing="1" w:after="100" w:afterAutospacing="1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r w:rsidRPr="0059248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Texte redimensionnable</w:t>
            </w:r>
          </w:p>
          <w:p w:rsidR="0059248C" w:rsidRPr="00831131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31131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Vérifier que le texte s'agrandit correctement lors du zoom  souris (zoom avant : CTRL et touche « + » / zoom arrière : CTRL et touche « - ».</w:t>
            </w:r>
          </w:p>
          <w:p w:rsidR="0059248C" w:rsidRPr="00831131" w:rsidRDefault="0059248C" w:rsidP="0059248C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831131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Tout le texte doit rester visible : pas de superposition du texte ni de scroll horizontal.</w:t>
            </w:r>
          </w:p>
          <w:p w:rsidR="0059248C" w:rsidRDefault="0059248C"/>
        </w:tc>
        <w:tc>
          <w:tcPr>
            <w:tcW w:w="1732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922" w:type="dxa"/>
          </w:tcPr>
          <w:p w:rsidR="0059248C" w:rsidRDefault="0059248C"/>
        </w:tc>
      </w:tr>
      <w:tr w:rsidR="0059248C" w:rsidTr="00F91769">
        <w:tc>
          <w:tcPr>
            <w:tcW w:w="5408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4" w:name="_Toc27468295"/>
            <w:r w:rsidRPr="0059248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Fins de session annoncées et renouvelables</w:t>
            </w:r>
            <w:bookmarkEnd w:id="14"/>
          </w:p>
          <w:p w:rsidR="0059248C" w:rsidRDefault="0059248C" w:rsidP="0059248C"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Les fins de sessions doivent être renseignées minimum 2 minutes avant la fin et doivent être renouvelables jusqu'à 10 fois.</w:t>
            </w:r>
          </w:p>
        </w:tc>
        <w:tc>
          <w:tcPr>
            <w:tcW w:w="1732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922" w:type="dxa"/>
          </w:tcPr>
          <w:p w:rsidR="0059248C" w:rsidRDefault="0059248C"/>
        </w:tc>
      </w:tr>
      <w:tr w:rsidR="0059248C" w:rsidTr="00F91769">
        <w:tc>
          <w:tcPr>
            <w:tcW w:w="5408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5" w:name="_Toc27468296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Contraste de couleurs suffisant</w:t>
            </w:r>
            <w:bookmarkEnd w:id="15"/>
          </w:p>
          <w:p w:rsidR="0059248C" w:rsidRPr="00E74DD7" w:rsidRDefault="0059248C" w:rsidP="0059248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 contraste entre la couleur d'avant-plan (texte/visuel) et la couleur d’arrière-plan doit être suffisant. </w:t>
            </w:r>
          </w:p>
          <w:p w:rsidR="0059248C" w:rsidRPr="00E74DD7" w:rsidRDefault="0059248C" w:rsidP="0059248C">
            <w:pPr>
              <w:rPr>
                <w:rFonts w:ascii="Century Gothic" w:hAnsi="Century Gothic"/>
                <w:sz w:val="20"/>
                <w:szCs w:val="20"/>
              </w:rPr>
            </w:pPr>
            <w:r w:rsidRPr="00E74DD7">
              <w:rPr>
                <w:rFonts w:ascii="Century Gothic" w:hAnsi="Century Gothic"/>
                <w:sz w:val="20"/>
                <w:szCs w:val="20"/>
              </w:rPr>
              <w:t>Règles contrastes WCAG AA</w:t>
            </w:r>
          </w:p>
          <w:p w:rsidR="0059248C" w:rsidRPr="00E74DD7" w:rsidRDefault="0059248C" w:rsidP="0059248C">
            <w:pPr>
              <w:pStyle w:val="Paragraphedeliste"/>
              <w:numPr>
                <w:ilvl w:val="1"/>
                <w:numId w:val="10"/>
              </w:numPr>
              <w:spacing w:line="240" w:lineRule="auto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E74DD7">
              <w:rPr>
                <w:rFonts w:ascii="Century Gothic" w:hAnsi="Century Gothic"/>
                <w:sz w:val="20"/>
                <w:szCs w:val="20"/>
              </w:rPr>
              <w:t xml:space="preserve">Texte normal : contraste minimum 4.5:1 </w:t>
            </w:r>
          </w:p>
          <w:p w:rsidR="0059248C" w:rsidRPr="00E74DD7" w:rsidRDefault="0059248C" w:rsidP="0059248C">
            <w:pPr>
              <w:pStyle w:val="Paragraphedeliste"/>
              <w:numPr>
                <w:ilvl w:val="1"/>
                <w:numId w:val="10"/>
              </w:numPr>
              <w:spacing w:line="240" w:lineRule="auto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E74DD7">
              <w:rPr>
                <w:rFonts w:ascii="Century Gothic" w:hAnsi="Century Gothic"/>
                <w:sz w:val="20"/>
                <w:szCs w:val="20"/>
              </w:rPr>
              <w:t xml:space="preserve">Grand texte (18px et plus): contraste minimum 3:1. </w:t>
            </w:r>
          </w:p>
          <w:p w:rsidR="0059248C" w:rsidRPr="00E74DD7" w:rsidRDefault="0059248C" w:rsidP="0059248C">
            <w:pPr>
              <w:pStyle w:val="Paragraphedeliste"/>
              <w:numPr>
                <w:ilvl w:val="1"/>
                <w:numId w:val="10"/>
              </w:numPr>
              <w:spacing w:line="240" w:lineRule="auto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E74DD7">
              <w:rPr>
                <w:rFonts w:ascii="Century Gothic" w:hAnsi="Century Gothic"/>
                <w:sz w:val="20"/>
                <w:szCs w:val="20"/>
              </w:rPr>
              <w:t>Graphiques et composants visuels : contraste minimum 3:1.</w:t>
            </w: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</w:p>
          <w:p w:rsidR="0059248C" w:rsidRPr="00E74DD7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Vérifier via l’outil de contraste de couleur "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Color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Contrast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 Analyser" et respecter la norme "Conforme (AA)" qui correspond au standard W3C WCAG AA</w:t>
            </w:r>
          </w:p>
          <w:p w:rsidR="0059248C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</w:p>
          <w:p w:rsidR="0059248C" w:rsidRDefault="0059248C" w:rsidP="0059248C"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Autre outil : </w:t>
            </w:r>
            <w:hyperlink r:id="rId7" w:history="1">
              <w:r>
                <w:rPr>
                  <w:rStyle w:val="Lienhypertexte"/>
                </w:rPr>
                <w:t>http://colorsafe.co/</w:t>
              </w:r>
            </w:hyperlink>
          </w:p>
        </w:tc>
        <w:tc>
          <w:tcPr>
            <w:tcW w:w="1732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922" w:type="dxa"/>
          </w:tcPr>
          <w:p w:rsidR="0059248C" w:rsidRDefault="0059248C"/>
        </w:tc>
      </w:tr>
      <w:tr w:rsidR="0059248C" w:rsidTr="00F91769">
        <w:tc>
          <w:tcPr>
            <w:tcW w:w="5408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6" w:name="_Toc27468297"/>
            <w:r w:rsidRPr="0059248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Tester les daltonismes</w:t>
            </w:r>
            <w:bookmarkEnd w:id="16"/>
          </w:p>
          <w:p w:rsidR="0059248C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Vérifier via l’outil de contraste de couleur "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Color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 </w:t>
            </w:r>
            <w:proofErr w:type="spellStart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Contrast</w:t>
            </w:r>
            <w:proofErr w:type="spellEnd"/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 Analyser" &gt; Menu Image &gt; Ecran &gt; Simulation (menu déroulant avec les différents types de daltonismes).</w:t>
            </w:r>
          </w:p>
          <w:p w:rsidR="0059248C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</w:p>
          <w:p w:rsidR="0059248C" w:rsidRDefault="0059248C" w:rsidP="00592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 xml:space="preserve">Autre outil : </w:t>
            </w:r>
            <w:hyperlink r:id="rId8" w:anchor="%23D81B60-%231E88E5-%23FFC107-%23004D40-%2398f9b9-%2343f1aa-%23b4ad95-%23c952a4-%23021219-%23ee3aa6" w:history="1">
              <w:r w:rsidRPr="00BF1A3A">
                <w:rPr>
                  <w:rStyle w:val="Lienhypertexte"/>
                  <w:rFonts w:ascii="Century Gothic" w:eastAsia="Times New Roman" w:hAnsi="Century Gothic" w:cs="Courier New"/>
                  <w:sz w:val="20"/>
                  <w:szCs w:val="20"/>
                  <w:lang w:eastAsia="fr-BE"/>
                </w:rPr>
                <w:t>https://davidmathlogic.com/colorblind/#%23D81B60-%231E88E5-%23FFC107-%23004D40-%2398f9b9-%2343f1aa-%23b4ad95-%23c952a4-%23021219-%23ee3aa6</w:t>
              </w:r>
            </w:hyperlink>
          </w:p>
          <w:p w:rsidR="0059248C" w:rsidRDefault="0059248C"/>
          <w:p w:rsidR="0059248C" w:rsidRPr="0059248C" w:rsidRDefault="0059248C" w:rsidP="0059248C">
            <w:pPr>
              <w:jc w:val="center"/>
            </w:pPr>
          </w:p>
        </w:tc>
        <w:tc>
          <w:tcPr>
            <w:tcW w:w="1732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922" w:type="dxa"/>
          </w:tcPr>
          <w:p w:rsidR="0059248C" w:rsidRDefault="0059248C"/>
        </w:tc>
      </w:tr>
      <w:tr w:rsidR="0059248C" w:rsidTr="00F91769">
        <w:tc>
          <w:tcPr>
            <w:tcW w:w="5408" w:type="dxa"/>
          </w:tcPr>
          <w:p w:rsidR="0059248C" w:rsidRPr="0059248C" w:rsidRDefault="0059248C" w:rsidP="0059248C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7" w:name="_Toc27468298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Informations relayées par la couleur</w:t>
            </w:r>
            <w:bookmarkEnd w:id="17"/>
          </w:p>
          <w:p w:rsidR="0059248C" w:rsidRPr="00E74DD7" w:rsidRDefault="0059248C" w:rsidP="0059248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lastRenderedPageBreak/>
              <w:t>Les informations relayées par la couleur doivent offrir une alternative à l'attention des personnes ne discernant pas les couleurs ex.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 </w:t>
            </w:r>
            <w:proofErr w:type="gram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ajouter</w:t>
            </w:r>
            <w:proofErr w:type="gram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 du </w:t>
            </w: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texte,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une </w:t>
            </w: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image,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 une </w:t>
            </w: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icône, .... </w:t>
            </w:r>
          </w:p>
          <w:p w:rsidR="0059248C" w:rsidRDefault="0059248C" w:rsidP="0059248C">
            <w:pPr>
              <w:tabs>
                <w:tab w:val="left" w:pos="972"/>
              </w:tabs>
            </w:pPr>
          </w:p>
        </w:tc>
        <w:tc>
          <w:tcPr>
            <w:tcW w:w="1732" w:type="dxa"/>
          </w:tcPr>
          <w:p w:rsidR="0059248C" w:rsidRDefault="0059248C" w:rsidP="0059248C">
            <w:r>
              <w:lastRenderedPageBreak/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lastRenderedPageBreak/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922" w:type="dxa"/>
          </w:tcPr>
          <w:p w:rsidR="0059248C" w:rsidRDefault="0059248C"/>
        </w:tc>
      </w:tr>
      <w:tr w:rsidR="0059248C" w:rsidTr="00F91769">
        <w:tc>
          <w:tcPr>
            <w:tcW w:w="5408" w:type="dxa"/>
          </w:tcPr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8" w:name="_Toc27468299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Liens</w:t>
            </w:r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 soulignés</w:t>
            </w:r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, significatifs</w:t>
            </w:r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 et focus visible</w:t>
            </w:r>
            <w:bookmarkEnd w:id="18"/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liens au milieu d'un texte, paragraphe, phrase, ... doivent être soulignés. La couleur seule ne suffit pas. 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intitulés des liens sont significatifs. Éviter les « lire plus », « cliquer ici » et « télécharger ». 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liens doivent avoir un état "focus" visible et différent de l'état de base. 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liens doivent être accessibles au clavier. </w:t>
            </w:r>
          </w:p>
          <w:p w:rsidR="0059248C" w:rsidRDefault="0059248C"/>
        </w:tc>
        <w:tc>
          <w:tcPr>
            <w:tcW w:w="1732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922" w:type="dxa"/>
          </w:tcPr>
          <w:p w:rsidR="0059248C" w:rsidRDefault="0059248C"/>
        </w:tc>
      </w:tr>
      <w:tr w:rsidR="0059248C" w:rsidTr="00F91769">
        <w:tc>
          <w:tcPr>
            <w:tcW w:w="5408" w:type="dxa"/>
          </w:tcPr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19" w:name="_Toc27468300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Vidéos/sons et sous-titres/transcription</w:t>
            </w:r>
            <w:bookmarkEnd w:id="19"/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L'information présente dans un fichier audio ou une vidéo doit être disponible d'une autre manière. 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Pour les vidéos, prévoir un sous-titrage synchronisé ainsi qu’une </w:t>
            </w:r>
            <w:r w:rsidRPr="002A7C1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fr-BE"/>
              </w:rPr>
              <w:t>transcription textuelle</w:t>
            </w: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.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Pour les fichiers audio, prévoir une transcription textuelle.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sous-titres ne reprennent pas uniquement l'information parlée mais également d'autres sons, comme la musique ou les moments de silence. Ils mentionnent également qui a la parole. </w:t>
            </w:r>
          </w:p>
          <w:p w:rsidR="0059248C" w:rsidRDefault="0059248C"/>
        </w:tc>
        <w:tc>
          <w:tcPr>
            <w:tcW w:w="1732" w:type="dxa"/>
          </w:tcPr>
          <w:p w:rsidR="0059248C" w:rsidRDefault="0059248C" w:rsidP="0059248C">
            <w:r>
              <w:t xml:space="preserve">Oui </w:t>
            </w:r>
          </w:p>
          <w:p w:rsidR="0059248C" w:rsidRDefault="0059248C" w:rsidP="0059248C">
            <w:r>
              <w:t xml:space="preserve">Non </w:t>
            </w:r>
          </w:p>
          <w:p w:rsidR="0059248C" w:rsidRDefault="0059248C" w:rsidP="0059248C">
            <w:r>
              <w:t xml:space="preserve">Pas d’application </w:t>
            </w:r>
          </w:p>
          <w:p w:rsidR="0059248C" w:rsidRDefault="0059248C" w:rsidP="0059248C">
            <w:r>
              <w:t>Je ne sais pas</w:t>
            </w:r>
          </w:p>
        </w:tc>
        <w:tc>
          <w:tcPr>
            <w:tcW w:w="1922" w:type="dxa"/>
          </w:tcPr>
          <w:p w:rsidR="0059248C" w:rsidRDefault="0059248C"/>
          <w:p w:rsidR="0059248C" w:rsidRPr="0059248C" w:rsidRDefault="0059248C" w:rsidP="0059248C">
            <w:pPr>
              <w:ind w:firstLine="708"/>
            </w:pPr>
          </w:p>
        </w:tc>
      </w:tr>
      <w:tr w:rsidR="00F5529B" w:rsidTr="00F91769">
        <w:tc>
          <w:tcPr>
            <w:tcW w:w="5408" w:type="dxa"/>
          </w:tcPr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0" w:name="_Toc27468301"/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Mouvement pas plus de 3 secondes</w:t>
            </w:r>
            <w:bookmarkEnd w:id="20"/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textes et les images ne clignotent pas plus de 3 fois par seconde. 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Cela s'applique aux textes, images, vidéos, animations, jeux, diaporamas, etc. </w:t>
            </w:r>
          </w:p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</w:p>
        </w:tc>
        <w:tc>
          <w:tcPr>
            <w:tcW w:w="1732" w:type="dxa"/>
          </w:tcPr>
          <w:p w:rsidR="00F5529B" w:rsidRDefault="00F5529B" w:rsidP="00F5529B">
            <w:r>
              <w:t xml:space="preserve">Oui </w:t>
            </w:r>
          </w:p>
          <w:p w:rsidR="00F5529B" w:rsidRDefault="00F5529B" w:rsidP="00F5529B">
            <w:r>
              <w:t xml:space="preserve">Non </w:t>
            </w:r>
          </w:p>
          <w:p w:rsidR="00F5529B" w:rsidRDefault="00F5529B" w:rsidP="00F5529B">
            <w:r>
              <w:t xml:space="preserve">Pas d’application </w:t>
            </w:r>
          </w:p>
          <w:p w:rsidR="00F5529B" w:rsidRDefault="00F5529B" w:rsidP="00F5529B">
            <w:r>
              <w:t>Je ne sais pas</w:t>
            </w:r>
          </w:p>
        </w:tc>
        <w:tc>
          <w:tcPr>
            <w:tcW w:w="1922" w:type="dxa"/>
          </w:tcPr>
          <w:p w:rsidR="00F5529B" w:rsidRDefault="00F5529B"/>
        </w:tc>
      </w:tr>
      <w:tr w:rsidR="00F5529B" w:rsidTr="00F91769">
        <w:tc>
          <w:tcPr>
            <w:tcW w:w="5408" w:type="dxa"/>
          </w:tcPr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1" w:name="_Toc27468302"/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Animations peuvent être arrêtées</w:t>
            </w:r>
            <w:bookmarkEnd w:id="21"/>
          </w:p>
          <w:p w:rsidR="00F5529B" w:rsidRPr="00E74DD7" w:rsidRDefault="00F5529B" w:rsidP="00F5529B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Les animations peuvent être arrêtées. </w:t>
            </w:r>
          </w:p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r w:rsidRPr="00831131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Prévoir à côté, en dessous ou au-dessus de l'animation un lien ou un bouton qui permette de démarrer, interrompre et/ou arrêter l'animation (cf. diaporamas)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.</w:t>
            </w:r>
          </w:p>
        </w:tc>
        <w:tc>
          <w:tcPr>
            <w:tcW w:w="1732" w:type="dxa"/>
          </w:tcPr>
          <w:p w:rsidR="00F5529B" w:rsidRDefault="00F5529B" w:rsidP="00F5529B">
            <w:r>
              <w:t xml:space="preserve">Oui </w:t>
            </w:r>
          </w:p>
          <w:p w:rsidR="00F5529B" w:rsidRDefault="00F5529B" w:rsidP="00F5529B">
            <w:r>
              <w:t xml:space="preserve">Non </w:t>
            </w:r>
          </w:p>
          <w:p w:rsidR="00F5529B" w:rsidRDefault="00F5529B" w:rsidP="00F5529B">
            <w:r>
              <w:t xml:space="preserve">Pas d’application </w:t>
            </w:r>
          </w:p>
          <w:p w:rsidR="00F5529B" w:rsidRDefault="00F5529B" w:rsidP="00F5529B">
            <w:r>
              <w:t>Je ne sais pas</w:t>
            </w:r>
          </w:p>
        </w:tc>
        <w:tc>
          <w:tcPr>
            <w:tcW w:w="1922" w:type="dxa"/>
          </w:tcPr>
          <w:p w:rsidR="00F5529B" w:rsidRDefault="00F5529B"/>
        </w:tc>
      </w:tr>
      <w:tr w:rsidR="00F5529B" w:rsidTr="00F91769">
        <w:tc>
          <w:tcPr>
            <w:tcW w:w="5408" w:type="dxa"/>
          </w:tcPr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2" w:name="_Toc27468303"/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Pas de </w:t>
            </w:r>
            <w:proofErr w:type="spellStart"/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popup</w:t>
            </w:r>
            <w:proofErr w:type="spellEnd"/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 à l’ouverture</w:t>
            </w:r>
            <w:bookmarkEnd w:id="22"/>
          </w:p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Les fenêtres pop-up n'apparaissent pas automatiquement.</w:t>
            </w:r>
          </w:p>
        </w:tc>
        <w:tc>
          <w:tcPr>
            <w:tcW w:w="1732" w:type="dxa"/>
          </w:tcPr>
          <w:p w:rsidR="00F5529B" w:rsidRDefault="00F5529B" w:rsidP="00F5529B">
            <w:r>
              <w:t xml:space="preserve">Oui </w:t>
            </w:r>
          </w:p>
          <w:p w:rsidR="00F5529B" w:rsidRDefault="00F5529B" w:rsidP="00F5529B">
            <w:r>
              <w:t xml:space="preserve">Non </w:t>
            </w:r>
          </w:p>
          <w:p w:rsidR="00F5529B" w:rsidRDefault="00F5529B" w:rsidP="00F5529B">
            <w:r>
              <w:t xml:space="preserve">Pas d’application </w:t>
            </w:r>
          </w:p>
          <w:p w:rsidR="00F5529B" w:rsidRDefault="00F5529B" w:rsidP="00F5529B">
            <w:r>
              <w:t>Je ne sais pas</w:t>
            </w:r>
          </w:p>
        </w:tc>
        <w:tc>
          <w:tcPr>
            <w:tcW w:w="1922" w:type="dxa"/>
          </w:tcPr>
          <w:p w:rsidR="00F5529B" w:rsidRDefault="00F5529B"/>
        </w:tc>
      </w:tr>
      <w:tr w:rsidR="00F5529B" w:rsidTr="00F91769">
        <w:tc>
          <w:tcPr>
            <w:tcW w:w="5408" w:type="dxa"/>
          </w:tcPr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3" w:name="_Toc27468304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Le son ne démarre pas automatiquement</w:t>
            </w:r>
            <w:bookmarkEnd w:id="23"/>
          </w:p>
          <w:p w:rsidR="00F5529B" w:rsidRDefault="00F5529B" w:rsidP="00F5529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lastRenderedPageBreak/>
              <w:t>Le son ne démarre pas automatiquement pour ne pas déranger les uti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lisateurs de lecteurs d'écrans.</w:t>
            </w:r>
          </w:p>
          <w:p w:rsidR="002D206C" w:rsidRPr="00F5529B" w:rsidRDefault="002D206C" w:rsidP="00F5529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Ex : éviter le mode « 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autostart</w:t>
            </w:r>
            <w:proofErr w:type="spell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 » pour les vidéos 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Youtube</w:t>
            </w:r>
            <w:proofErr w:type="spellEnd"/>
          </w:p>
        </w:tc>
        <w:tc>
          <w:tcPr>
            <w:tcW w:w="1732" w:type="dxa"/>
          </w:tcPr>
          <w:p w:rsidR="00F5529B" w:rsidRDefault="00F5529B" w:rsidP="00F5529B">
            <w:r>
              <w:lastRenderedPageBreak/>
              <w:t xml:space="preserve">Oui </w:t>
            </w:r>
          </w:p>
          <w:p w:rsidR="00F5529B" w:rsidRDefault="00F5529B" w:rsidP="00F5529B">
            <w:r>
              <w:t xml:space="preserve">Non </w:t>
            </w:r>
          </w:p>
          <w:p w:rsidR="00F5529B" w:rsidRDefault="00F5529B" w:rsidP="00F5529B">
            <w:r>
              <w:lastRenderedPageBreak/>
              <w:t xml:space="preserve">Pas d’application </w:t>
            </w:r>
          </w:p>
          <w:p w:rsidR="00F5529B" w:rsidRDefault="00F5529B" w:rsidP="00F5529B">
            <w:r>
              <w:t>Je ne sais pas</w:t>
            </w:r>
          </w:p>
        </w:tc>
        <w:tc>
          <w:tcPr>
            <w:tcW w:w="1922" w:type="dxa"/>
          </w:tcPr>
          <w:p w:rsidR="00F5529B" w:rsidRDefault="00F5529B"/>
        </w:tc>
      </w:tr>
      <w:tr w:rsidR="00F5529B" w:rsidTr="00F91769">
        <w:tc>
          <w:tcPr>
            <w:tcW w:w="5408" w:type="dxa"/>
          </w:tcPr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4" w:name="_Toc27468305"/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 xml:space="preserve">Éviter les </w:t>
            </w:r>
            <w:proofErr w:type="spellStart"/>
            <w:r w:rsidRPr="00F5529B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  <w:t>captchas</w:t>
            </w:r>
            <w:bookmarkEnd w:id="24"/>
            <w:proofErr w:type="spellEnd"/>
          </w:p>
          <w:p w:rsidR="00F5529B" w:rsidRDefault="00F5529B" w:rsidP="00F5529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Éviter les </w:t>
            </w:r>
            <w:proofErr w:type="spellStart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captchas</w:t>
            </w:r>
            <w:proofErr w:type="spellEnd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 autant que possible. Alternatives: </w:t>
            </w:r>
            <w:proofErr w:type="spellStart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>honeypot</w:t>
            </w:r>
            <w:proofErr w:type="spellEnd"/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/calcul. 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En savoir plus: </w:t>
            </w:r>
            <w:hyperlink r:id="rId9" w:history="1">
              <w:r w:rsidRPr="00E74DD7">
                <w:rPr>
                  <w:rFonts w:ascii="Century Gothic" w:eastAsia="Times New Roman" w:hAnsi="Century Gothic" w:cs="Times New Roman"/>
                  <w:color w:val="0000FF"/>
                  <w:sz w:val="20"/>
                  <w:szCs w:val="20"/>
                  <w:u w:val="single"/>
                  <w:lang w:eastAsia="fr-BE"/>
                </w:rPr>
                <w:t>http://www.anysurfer.be/fr/en-pratique/sites-web/eviter-le-spam-sans-captcha</w:t>
              </w:r>
            </w:hyperlink>
          </w:p>
          <w:p w:rsidR="00F5529B" w:rsidRPr="00F5529B" w:rsidRDefault="00F5529B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</w:p>
        </w:tc>
        <w:tc>
          <w:tcPr>
            <w:tcW w:w="1732" w:type="dxa"/>
          </w:tcPr>
          <w:p w:rsidR="00F5529B" w:rsidRDefault="00F5529B" w:rsidP="00F5529B">
            <w:r>
              <w:t xml:space="preserve">Oui </w:t>
            </w:r>
          </w:p>
          <w:p w:rsidR="00F5529B" w:rsidRDefault="00F5529B" w:rsidP="00F5529B">
            <w:r>
              <w:t xml:space="preserve">Non </w:t>
            </w:r>
          </w:p>
          <w:p w:rsidR="00F5529B" w:rsidRDefault="00F5529B" w:rsidP="00F5529B">
            <w:r>
              <w:t xml:space="preserve">Pas d’application </w:t>
            </w:r>
          </w:p>
          <w:p w:rsidR="00F5529B" w:rsidRDefault="00F5529B" w:rsidP="00F5529B">
            <w:r>
              <w:t>Je ne sais pas</w:t>
            </w:r>
          </w:p>
        </w:tc>
        <w:tc>
          <w:tcPr>
            <w:tcW w:w="1922" w:type="dxa"/>
          </w:tcPr>
          <w:p w:rsidR="00F5529B" w:rsidRDefault="00F5529B" w:rsidP="00F5529B"/>
        </w:tc>
      </w:tr>
      <w:tr w:rsidR="00F5529B" w:rsidTr="00F91769">
        <w:tc>
          <w:tcPr>
            <w:tcW w:w="5408" w:type="dxa"/>
          </w:tcPr>
          <w:p w:rsidR="00F5529B" w:rsidRPr="001E5452" w:rsidRDefault="00F5529B" w:rsidP="001E5452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5" w:name="_Toc27468306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Documents Word/Excel/Powerpoint</w:t>
            </w:r>
            <w:bookmarkEnd w:id="25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 xml:space="preserve"> accessibles</w:t>
            </w:r>
          </w:p>
          <w:p w:rsidR="00F5529B" w:rsidRPr="00E74DD7" w:rsidRDefault="00F5529B" w:rsidP="00F5529B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t xml:space="preserve">Vérifier que les documents proposés/créés sont accessibles. </w:t>
            </w:r>
          </w:p>
          <w:p w:rsidR="00F5529B" w:rsidRPr="000C6827" w:rsidRDefault="00F5529B" w:rsidP="00F5529B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À</w:t>
            </w:r>
            <w:r w:rsidRPr="000C6827">
              <w:rPr>
                <w:rFonts w:ascii="Century Gothic" w:hAnsi="Century Gothic"/>
                <w:sz w:val="20"/>
                <w:szCs w:val="20"/>
              </w:rPr>
              <w:t xml:space="preserve"> l'adresse suivante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0C6827">
              <w:rPr>
                <w:rFonts w:ascii="Century Gothic" w:hAnsi="Century Gothic"/>
                <w:sz w:val="20"/>
                <w:szCs w:val="20"/>
              </w:rPr>
              <w:t xml:space="preserve"> des guides pour vous aider à: </w:t>
            </w:r>
          </w:p>
          <w:p w:rsidR="00F5529B" w:rsidRPr="000C6827" w:rsidRDefault="00F5529B" w:rsidP="00F5529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>produire des documents bureautiques accessibles</w:t>
            </w:r>
          </w:p>
          <w:p w:rsidR="00F5529B" w:rsidRPr="000C6827" w:rsidRDefault="00F5529B" w:rsidP="00F5529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>améliorer l’accessibilité de documents bureautiques existants</w:t>
            </w:r>
          </w:p>
          <w:p w:rsidR="00F5529B" w:rsidRPr="000C6827" w:rsidRDefault="00F5529B" w:rsidP="00F5529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>tester le niveau d’accessibilité de documents bureautiques déjà créés</w:t>
            </w:r>
          </w:p>
          <w:p w:rsidR="00F5529B" w:rsidRPr="00F5529B" w:rsidRDefault="00B251BD" w:rsidP="00F5529B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hyperlink r:id="rId10" w:anchor="pr%C3%A9sentation-des-guides" w:history="1">
              <w:r w:rsidR="00F5529B" w:rsidRPr="000C6827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https://disic.github.io/guides-documents_bureautiques_accessibles/html/#pr%C3%A9sentation-des-guides</w:t>
              </w:r>
            </w:hyperlink>
          </w:p>
        </w:tc>
        <w:tc>
          <w:tcPr>
            <w:tcW w:w="1732" w:type="dxa"/>
          </w:tcPr>
          <w:p w:rsidR="001E5452" w:rsidRDefault="001E5452" w:rsidP="001E5452">
            <w:r>
              <w:t xml:space="preserve">Oui </w:t>
            </w:r>
          </w:p>
          <w:p w:rsidR="001E5452" w:rsidRDefault="001E5452" w:rsidP="001E5452">
            <w:r>
              <w:t xml:space="preserve">Non </w:t>
            </w:r>
          </w:p>
          <w:p w:rsidR="001E5452" w:rsidRDefault="001E5452" w:rsidP="001E5452">
            <w:r>
              <w:t xml:space="preserve">Pas d’application </w:t>
            </w:r>
          </w:p>
          <w:p w:rsidR="00F5529B" w:rsidRDefault="001E5452" w:rsidP="001E5452">
            <w:r>
              <w:t>Je ne sais pas</w:t>
            </w:r>
          </w:p>
        </w:tc>
        <w:tc>
          <w:tcPr>
            <w:tcW w:w="1922" w:type="dxa"/>
          </w:tcPr>
          <w:p w:rsidR="00F5529B" w:rsidRDefault="00F5529B" w:rsidP="00F5529B"/>
        </w:tc>
      </w:tr>
      <w:tr w:rsidR="00F5529B" w:rsidTr="00F91769">
        <w:tc>
          <w:tcPr>
            <w:tcW w:w="5408" w:type="dxa"/>
          </w:tcPr>
          <w:p w:rsidR="00404147" w:rsidRPr="00404147" w:rsidRDefault="00404147" w:rsidP="00404147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6" w:name="_Toc27468307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Documents PDF</w:t>
            </w:r>
            <w:bookmarkEnd w:id="26"/>
          </w:p>
          <w:p w:rsidR="00404147" w:rsidRPr="000C6827" w:rsidRDefault="00404147" w:rsidP="00404147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 xml:space="preserve">L'accessibilité d'un document PDF dépend de: </w:t>
            </w:r>
          </w:p>
          <w:p w:rsidR="00404147" w:rsidRPr="000C6827" w:rsidRDefault="00404147" w:rsidP="0040414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>l'accessibilité du document d'origine</w:t>
            </w:r>
          </w:p>
          <w:p w:rsidR="00404147" w:rsidRPr="000C6827" w:rsidRDefault="00404147" w:rsidP="0040414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>le logiciel utilisé pour la conversion</w:t>
            </w:r>
          </w:p>
          <w:p w:rsidR="00404147" w:rsidRPr="000C6827" w:rsidRDefault="00404147" w:rsidP="00404147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 xml:space="preserve">Un document PDF peut parfaitement être accessible si le document d'origine l'était et qu'il a été converti de manière correcte. </w:t>
            </w:r>
          </w:p>
          <w:p w:rsidR="00404147" w:rsidRPr="000C6827" w:rsidRDefault="00404147" w:rsidP="00404147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 xml:space="preserve">Voici les recommandations </w:t>
            </w:r>
            <w:proofErr w:type="spellStart"/>
            <w:r w:rsidRPr="000C6827">
              <w:rPr>
                <w:rFonts w:ascii="Century Gothic" w:hAnsi="Century Gothic"/>
                <w:sz w:val="20"/>
                <w:szCs w:val="20"/>
              </w:rPr>
              <w:t>Anysurfer</w:t>
            </w:r>
            <w:proofErr w:type="spellEnd"/>
            <w:r w:rsidRPr="000C6827">
              <w:rPr>
                <w:rFonts w:ascii="Century Gothic" w:hAnsi="Century Gothic"/>
                <w:sz w:val="20"/>
                <w:szCs w:val="20"/>
              </w:rPr>
              <w:t xml:space="preserve"> pour : </w:t>
            </w:r>
          </w:p>
          <w:p w:rsidR="00404147" w:rsidRPr="000C6827" w:rsidRDefault="00404147" w:rsidP="0040414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Century Gothic" w:hAnsi="Century Gothic"/>
                <w:sz w:val="20"/>
                <w:szCs w:val="20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 xml:space="preserve">tester l'accessibilité de vos documents PDF: </w:t>
            </w:r>
            <w:hyperlink r:id="rId11" w:history="1">
              <w:r w:rsidRPr="000C6827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https://anysurfer.be/fr/en-pratique/documents/pdf/tester-des-documents-pdf</w:t>
              </w:r>
            </w:hyperlink>
          </w:p>
          <w:p w:rsidR="00F5529B" w:rsidRPr="00F5529B" w:rsidRDefault="00404147" w:rsidP="00404147">
            <w:pPr>
              <w:tabs>
                <w:tab w:val="left" w:pos="1812"/>
              </w:tabs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r w:rsidRPr="000C6827">
              <w:rPr>
                <w:rFonts w:ascii="Century Gothic" w:hAnsi="Century Gothic"/>
                <w:sz w:val="20"/>
                <w:szCs w:val="20"/>
              </w:rPr>
              <w:t xml:space="preserve">transformer un document Word accessible en PDF accessible: </w:t>
            </w:r>
            <w:hyperlink r:id="rId12" w:history="1">
              <w:r w:rsidRPr="000C6827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https://anysurfer.be/fr/en-pratique/documents/pdf/pdf-depuis-word</w:t>
              </w:r>
            </w:hyperlink>
          </w:p>
        </w:tc>
        <w:tc>
          <w:tcPr>
            <w:tcW w:w="1732" w:type="dxa"/>
          </w:tcPr>
          <w:p w:rsidR="001E5452" w:rsidRDefault="001E5452" w:rsidP="001E5452">
            <w:r>
              <w:t xml:space="preserve">Oui </w:t>
            </w:r>
          </w:p>
          <w:p w:rsidR="001E5452" w:rsidRDefault="001E5452" w:rsidP="001E5452">
            <w:r>
              <w:t xml:space="preserve">Non </w:t>
            </w:r>
          </w:p>
          <w:p w:rsidR="001E5452" w:rsidRDefault="001E5452" w:rsidP="001E5452">
            <w:r>
              <w:t xml:space="preserve">Pas d’application </w:t>
            </w:r>
          </w:p>
          <w:p w:rsidR="00F5529B" w:rsidRDefault="001E5452" w:rsidP="001E5452">
            <w:r>
              <w:t>Je ne sais pas</w:t>
            </w:r>
          </w:p>
        </w:tc>
        <w:tc>
          <w:tcPr>
            <w:tcW w:w="1922" w:type="dxa"/>
          </w:tcPr>
          <w:p w:rsidR="00F5529B" w:rsidRDefault="00F5529B" w:rsidP="00F5529B"/>
        </w:tc>
      </w:tr>
      <w:tr w:rsidR="00F5529B" w:rsidTr="00F91769">
        <w:tc>
          <w:tcPr>
            <w:tcW w:w="5408" w:type="dxa"/>
          </w:tcPr>
          <w:p w:rsidR="00404147" w:rsidRPr="00404147" w:rsidRDefault="00404147" w:rsidP="00404147">
            <w:pPr>
              <w:spacing w:before="100" w:beforeAutospacing="1" w:after="100" w:afterAutospacing="1"/>
              <w:outlineLvl w:val="0"/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lang w:eastAsia="fr-BE"/>
              </w:rPr>
            </w:pPr>
            <w:bookmarkStart w:id="27" w:name="_Toc27468308"/>
            <w:r w:rsidRPr="002D206C">
              <w:rPr>
                <w:rFonts w:ascii="Century Gothic" w:hAnsi="Century Gothic" w:cs="Times New Roman"/>
                <w:b/>
                <w:bCs/>
                <w:kern w:val="36"/>
                <w:sz w:val="28"/>
                <w:szCs w:val="28"/>
                <w:highlight w:val="yellow"/>
                <w:lang w:eastAsia="fr-BE"/>
              </w:rPr>
              <w:t>Accessibilité des textes</w:t>
            </w:r>
            <w:bookmarkEnd w:id="27"/>
          </w:p>
          <w:p w:rsidR="00404147" w:rsidRPr="00E74DD7" w:rsidRDefault="00404147" w:rsidP="00404147">
            <w:pPr>
              <w:spacing w:before="100" w:beforeAutospacing="1" w:after="100" w:afterAutospacing="1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Times New Roman"/>
                <w:sz w:val="20"/>
                <w:szCs w:val="20"/>
                <w:lang w:eastAsia="fr-BE"/>
              </w:rPr>
              <w:lastRenderedPageBreak/>
              <w:t xml:space="preserve">Vérifier que le contenu des textes est "facile à lire". </w:t>
            </w:r>
          </w:p>
          <w:p w:rsidR="00F5529B" w:rsidRPr="00404147" w:rsidRDefault="00404147" w:rsidP="00404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</w:pPr>
            <w:r w:rsidRPr="00E74DD7">
              <w:rPr>
                <w:rFonts w:ascii="Century Gothic" w:eastAsia="Times New Roman" w:hAnsi="Century Gothic" w:cs="Courier New"/>
                <w:sz w:val="20"/>
                <w:szCs w:val="20"/>
                <w:lang w:eastAsia="fr-BE"/>
              </w:rPr>
              <w:t>Utiliser l'outil suivant: www.scolarius.com et viser le niveau "collégial".</w:t>
            </w:r>
          </w:p>
        </w:tc>
        <w:tc>
          <w:tcPr>
            <w:tcW w:w="1732" w:type="dxa"/>
          </w:tcPr>
          <w:p w:rsidR="00404147" w:rsidRDefault="00404147" w:rsidP="00404147">
            <w:r>
              <w:lastRenderedPageBreak/>
              <w:t xml:space="preserve">Oui </w:t>
            </w:r>
          </w:p>
          <w:p w:rsidR="00404147" w:rsidRDefault="00404147" w:rsidP="00404147">
            <w:r>
              <w:t xml:space="preserve">Non </w:t>
            </w:r>
          </w:p>
          <w:p w:rsidR="00404147" w:rsidRDefault="00404147" w:rsidP="00404147">
            <w:r>
              <w:lastRenderedPageBreak/>
              <w:t xml:space="preserve">Pas d’application </w:t>
            </w:r>
          </w:p>
          <w:p w:rsidR="00F5529B" w:rsidRDefault="00404147" w:rsidP="00404147">
            <w:r>
              <w:t>Je ne sais pas</w:t>
            </w:r>
          </w:p>
        </w:tc>
        <w:tc>
          <w:tcPr>
            <w:tcW w:w="1922" w:type="dxa"/>
          </w:tcPr>
          <w:p w:rsidR="00F5529B" w:rsidRDefault="00F5529B" w:rsidP="00F5529B"/>
        </w:tc>
      </w:tr>
    </w:tbl>
    <w:p w:rsidR="0059248C" w:rsidRDefault="0059248C"/>
    <w:sectPr w:rsidR="0059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F4F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D1DD6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424C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474BD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75111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A6372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3324D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07D60"/>
    <w:multiLevelType w:val="multilevel"/>
    <w:tmpl w:val="4D22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B62D5"/>
    <w:multiLevelType w:val="multilevel"/>
    <w:tmpl w:val="C7AA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4517F7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62AF5"/>
    <w:multiLevelType w:val="multilevel"/>
    <w:tmpl w:val="7224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A2306E"/>
    <w:multiLevelType w:val="hybridMultilevel"/>
    <w:tmpl w:val="765E8F7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9979E4"/>
    <w:multiLevelType w:val="hybridMultilevel"/>
    <w:tmpl w:val="0F929EF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8C"/>
    <w:rsid w:val="001E5452"/>
    <w:rsid w:val="002A7C1A"/>
    <w:rsid w:val="002D206C"/>
    <w:rsid w:val="00404147"/>
    <w:rsid w:val="0059248C"/>
    <w:rsid w:val="009C7924"/>
    <w:rsid w:val="00AC30C1"/>
    <w:rsid w:val="00B251BD"/>
    <w:rsid w:val="00BE2D1A"/>
    <w:rsid w:val="00F5529B"/>
    <w:rsid w:val="00F9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F8E3F-90B7-4126-8727-20057A99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2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248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924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5924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59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248C"/>
    <w:pPr>
      <w:spacing w:line="252" w:lineRule="auto"/>
      <w:ind w:left="720"/>
      <w:contextualSpacing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rsid w:val="00F5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idmathlogic.com/colorblin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lorsafe.co/" TargetMode="External"/><Relationship Id="rId12" Type="http://schemas.openxmlformats.org/officeDocument/2006/relationships/hyperlink" Target="https://anysurfer.be/fr/en-pratique/documents/pdf/pdf-depuis-w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.org/WAI/WCAG21/quickref/" TargetMode="External"/><Relationship Id="rId11" Type="http://schemas.openxmlformats.org/officeDocument/2006/relationships/hyperlink" Target="https://anysurfer.be/fr/en-pratique/documents/pdf/tester-des-documents-pdf" TargetMode="External"/><Relationship Id="rId5" Type="http://schemas.openxmlformats.org/officeDocument/2006/relationships/hyperlink" Target="https://www.w3.org/TR/WCAG21/" TargetMode="External"/><Relationship Id="rId10" Type="http://schemas.openxmlformats.org/officeDocument/2006/relationships/hyperlink" Target="https://disic.github.io/guides-documents_bureautiques_accessibles/htm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ysurfer.be/fr/en-pratique/sites-web/eviter-le-spam-sans-captch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4014</TotalTime>
  <Pages>1</Pages>
  <Words>1430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GEUBEL Françoise</dc:creator>
  <cp:keywords/>
  <dc:description/>
  <cp:lastModifiedBy>GEUBEL Françoise</cp:lastModifiedBy>
  <cp:revision>7</cp:revision>
  <dcterms:created xsi:type="dcterms:W3CDTF">2020-06-23T15:27:00Z</dcterms:created>
  <dcterms:modified xsi:type="dcterms:W3CDTF">2020-10-12T06:53:00Z</dcterms:modified>
</cp:coreProperties>
</file>